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ind w:right="40"/>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4, 2026</w:t>
      </w:r>
    </w:p>
    <w:p>
      <w:pPr>
        <w:spacing w:after="0" w:line="19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SANA BIOTECHNOLOGY,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p>
      <w:pPr>
        <w:spacing w:after="0" w:line="390"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7"/>
          <w:szCs w:val="17"/>
          <w:b w:val="1"/>
          <w:bCs w:val="1"/>
          <w:color w:val="auto"/>
        </w:rPr>
        <w:t>001-39941</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83-1381173</w:t>
      </w:r>
    </w:p>
    <w:p>
      <w:pPr>
        <w:spacing w:after="0" w:line="12" w:lineRule="exact"/>
        <w:rPr>
          <w:sz w:val="24"/>
          <w:szCs w:val="24"/>
          <w:color w:val="auto"/>
        </w:rPr>
      </w:pPr>
    </w:p>
    <w:p>
      <w:pPr>
        <w:sectPr>
          <w:pgSz w:w="11900" w:h="16838" w:orient="portrait"/>
          <w:cols w:equalWidth="0" w:num="3">
            <w:col w:w="4640" w:space="720"/>
            <w:col w:w="2920" w:space="720"/>
            <w:col w:w="2240"/>
          </w:cols>
          <w:pgMar w:left="320" w:top="1118" w:right="339" w:bottom="1440" w:gutter="0" w:footer="0" w:header="0"/>
          <w:type w:val="continuous"/>
        </w:sect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20" w:lineRule="exact"/>
        <w:rPr>
          <w:sz w:val="24"/>
          <w:szCs w:val="24"/>
          <w:color w:val="auto"/>
        </w:rPr>
      </w:pPr>
    </w:p>
    <w:p>
      <w:pPr>
        <w:sectPr>
          <w:pgSz w:w="11900" w:h="16838" w:orient="portrait"/>
          <w:cols w:equalWidth="0" w:num="3">
            <w:col w:w="4620" w:space="720"/>
            <w:col w:w="2680" w:space="720"/>
            <w:col w:w="2500"/>
          </w:cols>
          <w:pgMar w:left="320" w:top="1118" w:right="339" w:bottom="1440" w:gutter="0" w:footer="0" w:header="0"/>
          <w:type w:val="continuous"/>
        </w:sectPr>
      </w:pPr>
    </w:p>
    <w:p>
      <w:pPr>
        <w:ind w:left="4380"/>
        <w:spacing w:after="0"/>
        <w:rPr>
          <w:sz w:val="20"/>
          <w:szCs w:val="20"/>
          <w:color w:val="auto"/>
        </w:rPr>
      </w:pPr>
      <w:r>
        <w:rPr>
          <w:rFonts w:ascii="Times New Roman" w:cs="Times New Roman" w:eastAsia="Times New Roman" w:hAnsi="Times New Roman"/>
          <w:sz w:val="18"/>
          <w:szCs w:val="18"/>
          <w:b w:val="1"/>
          <w:bCs w:val="1"/>
          <w:color w:val="auto"/>
        </w:rPr>
        <w:t>188 East Blaine Street, Suite 350</w:t>
      </w:r>
    </w:p>
    <w:p>
      <w:pPr>
        <w:spacing w:after="0" w:line="3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Seattle, Washington 98102</w:t>
      </w:r>
    </w:p>
    <w:p>
      <w:pPr>
        <w:spacing w:after="0" w:line="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(206) 701-7914</w:t>
      </w:r>
    </w:p>
    <w:p>
      <w:pPr>
        <w:sectPr>
          <w:pgSz w:w="11900" w:h="16838" w:orient="portrait"/>
          <w:cols w:equalWidth="0" w:num="1">
            <w:col w:w="11240"/>
          </w:cols>
          <w:pgMar w:left="320" w:top="1118" w:right="339" w:bottom="1440" w:gutter="0" w:footer="0" w:header="0"/>
          <w:type w:val="continuous"/>
        </w:sectPr>
      </w:pPr>
    </w:p>
    <w:p>
      <w:pPr>
        <w:spacing w:after="0" w:line="200" w:lineRule="exact"/>
        <w:rPr>
          <w:sz w:val="24"/>
          <w:szCs w:val="24"/>
          <w:color w:val="auto"/>
        </w:rPr>
      </w:pPr>
    </w:p>
    <w:p>
      <w:pPr>
        <w:ind w:right="68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60" w:hanging="365"/>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760" w:hanging="365"/>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760" w:hanging="365"/>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760" w:hanging="365"/>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20" w:type="dxa"/>
            <w:vAlign w:val="bottom"/>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120" w:type="dxa"/>
            <w:vAlign w:val="bottom"/>
          </w:tcPr>
          <w:p>
            <w:pPr>
              <w:spacing w:after="0"/>
              <w:rPr>
                <w:sz w:val="18"/>
                <w:szCs w:val="18"/>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1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SANA</w:t>
            </w:r>
          </w:p>
        </w:tc>
        <w:tc>
          <w:tcPr>
            <w:tcW w:w="1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16" w:lineRule="exact"/>
        <w:rPr>
          <w:sz w:val="24"/>
          <w:szCs w:val="24"/>
          <w:color w:val="auto"/>
        </w:rPr>
      </w:pPr>
    </w:p>
    <w:p>
      <w:pPr>
        <w:ind w:right="50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8560"/>
        <w:spacing w:after="0" w:line="18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Sana Biotechnology,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held its 2026 annual meeting of stockholders (the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on June 4, 2026. The final results for each of the proposals submitted to a vote of the Company’s stockholders at the Annual Meeting are set forth below. These proposals are described in detail in the Company’s definitive proxy statement filed with the Securities and Exchange Commission on April 24, 2026.</w:t>
      </w:r>
    </w:p>
    <w:p>
      <w:pPr>
        <w:spacing w:after="0" w:line="174"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Proposal 1: </w:t>
      </w:r>
      <w:r>
        <w:rPr>
          <w:rFonts w:ascii="Times New Roman" w:cs="Times New Roman" w:eastAsia="Times New Roman" w:hAnsi="Times New Roman"/>
          <w:sz w:val="18"/>
          <w:szCs w:val="18"/>
          <w:color w:val="auto"/>
        </w:rPr>
        <w:t>The Company’s stockholders elected all the nominees to serve as Class II directors of the Company’s Board of Directors, each to serve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three-year term expiring at the Company’s 2029 annual meeting of stockholders or until his or her respective successor is duly elected and qualified, by the votes set forth in the table below:</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Nominees</w:t>
            </w:r>
          </w:p>
        </w:tc>
        <w:tc>
          <w:tcPr>
            <w:tcW w:w="5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46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36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9"/>
        </w:trPr>
        <w:tc>
          <w:tcPr>
            <w:tcW w:w="20" w:type="dxa"/>
            <w:vAlign w:val="bottom"/>
          </w:tcPr>
          <w:p>
            <w:pPr>
              <w:spacing w:after="0"/>
              <w:rPr>
                <w:sz w:val="18"/>
                <w:szCs w:val="18"/>
                <w:color w:val="auto"/>
              </w:rPr>
            </w:pPr>
          </w:p>
        </w:tc>
        <w:tc>
          <w:tcPr>
            <w:tcW w:w="37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Hans E. Bishop</w:t>
            </w:r>
          </w:p>
        </w:tc>
        <w:tc>
          <w:tcPr>
            <w:tcW w:w="540" w:type="dxa"/>
            <w:vAlign w:val="bottom"/>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117,452,573</w:t>
            </w:r>
          </w:p>
        </w:tc>
        <w:tc>
          <w:tcPr>
            <w:tcW w:w="460" w:type="dxa"/>
            <w:vAlign w:val="bottom"/>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57,148,432</w:t>
            </w:r>
          </w:p>
        </w:tc>
        <w:tc>
          <w:tcPr>
            <w:tcW w:w="360" w:type="dxa"/>
            <w:vAlign w:val="bottom"/>
            <w:shd w:val="clear" w:color="auto" w:fill="CFF0FC"/>
          </w:tcPr>
          <w:p>
            <w:pPr>
              <w:spacing w:after="0"/>
              <w:rPr>
                <w:sz w:val="18"/>
                <w:szCs w:val="18"/>
                <w:color w:val="auto"/>
              </w:rPr>
            </w:pPr>
          </w:p>
        </w:tc>
        <w:tc>
          <w:tcPr>
            <w:tcW w:w="19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30,606,441</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Robert Nelsen</w:t>
            </w:r>
          </w:p>
        </w:tc>
        <w:tc>
          <w:tcPr>
            <w:tcW w:w="224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auto"/>
                <w:w w:val="99"/>
              </w:rPr>
              <w:t>160,384,193</w:t>
            </w:r>
          </w:p>
        </w:tc>
        <w:tc>
          <w:tcPr>
            <w:tcW w:w="206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rPr>
              <w:t>14,216,812</w:t>
            </w:r>
          </w:p>
        </w:tc>
        <w:tc>
          <w:tcPr>
            <w:tcW w:w="226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8"/>
              </w:rPr>
              <w:t>30,606,441</w:t>
            </w:r>
          </w:p>
        </w:tc>
      </w:tr>
      <w:tr>
        <w:trPr>
          <w:trHeight w:val="216"/>
        </w:trPr>
        <w:tc>
          <w:tcPr>
            <w:tcW w:w="20" w:type="dxa"/>
            <w:vAlign w:val="bottom"/>
          </w:tcPr>
          <w:p>
            <w:pPr>
              <w:spacing w:after="0"/>
              <w:rPr>
                <w:sz w:val="18"/>
                <w:szCs w:val="18"/>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Alise S. Reicin, M.D.</w:t>
            </w:r>
          </w:p>
        </w:tc>
        <w:tc>
          <w:tcPr>
            <w:tcW w:w="2240" w:type="dxa"/>
            <w:vAlign w:val="bottom"/>
            <w:gridSpan w:val="2"/>
            <w:shd w:val="clear" w:color="auto" w:fill="CFF0FC"/>
          </w:tcPr>
          <w:p>
            <w:pPr>
              <w:jc w:val="center"/>
              <w:ind w:left="410"/>
              <w:spacing w:after="0"/>
              <w:rPr>
                <w:sz w:val="20"/>
                <w:szCs w:val="20"/>
                <w:color w:val="auto"/>
              </w:rPr>
            </w:pPr>
            <w:r>
              <w:rPr>
                <w:rFonts w:ascii="Times New Roman" w:cs="Times New Roman" w:eastAsia="Times New Roman" w:hAnsi="Times New Roman"/>
                <w:sz w:val="18"/>
                <w:szCs w:val="18"/>
                <w:color w:val="auto"/>
                <w:w w:val="99"/>
              </w:rPr>
              <w:t>149,865,546</w:t>
            </w:r>
          </w:p>
        </w:tc>
        <w:tc>
          <w:tcPr>
            <w:tcW w:w="2060" w:type="dxa"/>
            <w:vAlign w:val="bottom"/>
            <w:gridSpan w:val="2"/>
            <w:shd w:val="clear" w:color="auto" w:fill="CFF0FC"/>
          </w:tcPr>
          <w:p>
            <w:pPr>
              <w:jc w:val="center"/>
              <w:ind w:left="350"/>
              <w:spacing w:after="0"/>
              <w:rPr>
                <w:sz w:val="20"/>
                <w:szCs w:val="20"/>
                <w:color w:val="auto"/>
              </w:rPr>
            </w:pPr>
            <w:r>
              <w:rPr>
                <w:rFonts w:ascii="Times New Roman" w:cs="Times New Roman" w:eastAsia="Times New Roman" w:hAnsi="Times New Roman"/>
                <w:sz w:val="18"/>
                <w:szCs w:val="18"/>
                <w:color w:val="auto"/>
              </w:rPr>
              <w:t>24,735,459</w:t>
            </w:r>
          </w:p>
        </w:tc>
        <w:tc>
          <w:tcPr>
            <w:tcW w:w="2260" w:type="dxa"/>
            <w:vAlign w:val="bottom"/>
            <w:gridSpan w:val="2"/>
            <w:shd w:val="clear" w:color="auto" w:fill="CFF0FC"/>
          </w:tcPr>
          <w:p>
            <w:pPr>
              <w:jc w:val="center"/>
              <w:ind w:left="250"/>
              <w:spacing w:after="0"/>
              <w:rPr>
                <w:sz w:val="20"/>
                <w:szCs w:val="20"/>
                <w:color w:val="auto"/>
              </w:rPr>
            </w:pPr>
            <w:r>
              <w:rPr>
                <w:rFonts w:ascii="Times New Roman" w:cs="Times New Roman" w:eastAsia="Times New Roman" w:hAnsi="Times New Roman"/>
                <w:sz w:val="18"/>
                <w:szCs w:val="18"/>
                <w:color w:val="auto"/>
                <w:w w:val="98"/>
              </w:rPr>
              <w:t>30,606,441</w:t>
            </w:r>
          </w:p>
        </w:tc>
      </w:tr>
    </w:tbl>
    <w:p>
      <w:pPr>
        <w:spacing w:after="0" w:line="196"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Proposal 2: </w:t>
      </w:r>
      <w:r>
        <w:rPr>
          <w:rFonts w:ascii="Times New Roman" w:cs="Times New Roman" w:eastAsia="Times New Roman" w:hAnsi="Times New Roman"/>
          <w:sz w:val="18"/>
          <w:szCs w:val="18"/>
          <w:color w:val="auto"/>
        </w:rPr>
        <w:t>The Company’s stockholders ratified the appointment of Ernst &amp; Young LLP as the Company’s independent registered public accounting firm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fiscal year ending December 31, 2026, by the votes set forth in the table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0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48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380" w:type="dxa"/>
            <w:vAlign w:val="bottom"/>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580" w:type="dxa"/>
            <w:vAlign w:val="bottom"/>
          </w:tcPr>
          <w:p>
            <w:pPr>
              <w:spacing w:after="0"/>
              <w:rPr>
                <w:sz w:val="15"/>
                <w:szCs w:val="15"/>
                <w:color w:val="auto"/>
              </w:rPr>
            </w:pPr>
          </w:p>
        </w:tc>
      </w:tr>
      <w:tr>
        <w:trPr>
          <w:trHeight w:val="210"/>
        </w:trPr>
        <w:tc>
          <w:tcPr>
            <w:tcW w:w="2600" w:type="dxa"/>
            <w:vAlign w:val="bottom"/>
          </w:tcPr>
          <w:p>
            <w:pPr>
              <w:spacing w:after="0"/>
              <w:rPr>
                <w:sz w:val="18"/>
                <w:szCs w:val="18"/>
                <w:color w:val="auto"/>
              </w:rPr>
            </w:pPr>
          </w:p>
        </w:tc>
        <w:tc>
          <w:tcPr>
            <w:tcW w:w="170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8"/>
                <w:szCs w:val="18"/>
                <w:color w:val="auto"/>
              </w:rPr>
              <w:t>203,932,500</w:t>
            </w:r>
          </w:p>
        </w:tc>
        <w:tc>
          <w:tcPr>
            <w:tcW w:w="2080" w:type="dxa"/>
            <w:vAlign w:val="bottom"/>
            <w:gridSpan w:val="2"/>
            <w:shd w:val="clear" w:color="auto" w:fill="CFF0FC"/>
          </w:tcPr>
          <w:p>
            <w:pPr>
              <w:jc w:val="right"/>
              <w:ind w:right="448"/>
              <w:spacing w:after="0"/>
              <w:rPr>
                <w:sz w:val="20"/>
                <w:szCs w:val="20"/>
                <w:color w:val="auto"/>
              </w:rPr>
            </w:pPr>
            <w:r>
              <w:rPr>
                <w:rFonts w:ascii="Times New Roman" w:cs="Times New Roman" w:eastAsia="Times New Roman" w:hAnsi="Times New Roman"/>
                <w:sz w:val="18"/>
                <w:szCs w:val="18"/>
                <w:color w:val="auto"/>
              </w:rPr>
              <w:t>831,419</w:t>
            </w:r>
          </w:p>
        </w:tc>
        <w:tc>
          <w:tcPr>
            <w:tcW w:w="228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443,527</w:t>
            </w:r>
          </w:p>
        </w:tc>
        <w:tc>
          <w:tcPr>
            <w:tcW w:w="2580" w:type="dxa"/>
            <w:vAlign w:val="bottom"/>
          </w:tcPr>
          <w:p>
            <w:pPr>
              <w:spacing w:after="0"/>
              <w:rPr>
                <w:sz w:val="18"/>
                <w:szCs w:val="18"/>
                <w:color w:val="auto"/>
              </w:rPr>
            </w:pPr>
          </w:p>
        </w:tc>
      </w:tr>
      <w:tr>
        <w:trPr>
          <w:trHeight w:val="432"/>
        </w:trPr>
        <w:tc>
          <w:tcPr>
            <w:tcW w:w="2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8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763"/>
        </w:trPr>
        <w:tc>
          <w:tcPr>
            <w:tcW w:w="26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Sana Biotechnology, Inc.</w:t>
      </w:r>
    </w:p>
    <w:p>
      <w:pPr>
        <w:spacing w:after="0" w:line="229" w:lineRule="exact"/>
        <w:rPr>
          <w:sz w:val="20"/>
          <w:szCs w:val="20"/>
          <w:color w:val="auto"/>
        </w:rPr>
      </w:pPr>
    </w:p>
    <w:p>
      <w:pPr>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June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Aaron M.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Aaron M. Grossman</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Executive Vice President, Chief Legal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2026-06-05T15:09:36Z</dcterms:created>
  <dcterms:modified xsi:type="dcterms:W3CDTF">2026-06-05T15:09:36Z</dcterms:modified>
</cp:coreProperties>
</file>