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PATEL DHAVALKUMAR DHIRAJLAL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SANA BIOTECHNOLOGY,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188 EAST BLAINE STREET, SUITE 350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Sana Biotechnology, Inc.</w:t>
              </w:r>
            </w:hyperlink>
            <w:r>
              <w:rPr/>
              <w:t xml:space="preserve"> [ </w:t>
            </w:r>
            <w:r>
              <w:rPr>
                <w:rFonts w:ascii="Times;serif" w:hAnsi="Times;serif"/>
                <w:color w:val="0000FF"/>
                <w:sz w:val="24"/>
                <w:shd w:fill="FFFFFF" w:val="clear"/>
              </w:rPr>
              <w:t>SANA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1016"/>
        <w:gridCol w:w="453"/>
        <w:gridCol w:w="669"/>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224,510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41,158</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4.11</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183,352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Sana Biotechology, Inc. ("Sana")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award vested as to 25% of the restricted stock units on each of August 26, 2025 and 2026, and the remaining restricted stock units will vest in two equal installments on each of August 26, 2027 and 2028, provided that the reporting person provides continuous service to Sana as an employee, consultant, director or officer of Sana through each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M. Grossman, Attorney-in-Fact for Dhavalkumar Dhirajlal Patel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5339" TargetMode="External"/><Relationship Id="rId5" Type="http://schemas.openxmlformats.org/officeDocument/2006/relationships/hyperlink" Target="http://www.sec.gov/cgi-bin/browse-edgar?action=getcompany&amp;CIK=00017701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683</Words>
  <Characters>3695</Characters>
  <CharactersWithSpaces>4288</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